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C0D7F1" w:themeColor="text2" w:themeTint="33"/>
  <w:body>
    <w:p w:rsidR="00E924DE" w:rsidRPr="00E924DE" w:rsidRDefault="00E871BB" w:rsidP="008F3197">
      <w:pPr>
        <w:pStyle w:val="Ttulo1"/>
        <w:rPr>
          <w:rFonts w:eastAsia="Calibri"/>
        </w:rPr>
      </w:pPr>
      <w:r w:rsidRPr="00E871BB">
        <w:rPr>
          <w:rFonts w:eastAsia="Calibri"/>
        </w:rPr>
        <w:t>“</w:t>
      </w:r>
      <w:r w:rsidR="00E924DE" w:rsidRPr="00E924DE">
        <w:rPr>
          <w:rFonts w:eastAsia="Calibri"/>
        </w:rPr>
        <w:t xml:space="preserve">Biodeterioro ocasionado por hongos </w:t>
      </w:r>
      <w:r w:rsidR="00E34F83">
        <w:rPr>
          <w:rFonts w:eastAsia="Calibri"/>
        </w:rPr>
        <w:t xml:space="preserve">y líquenes </w:t>
      </w:r>
      <w:r w:rsidR="00E924DE" w:rsidRPr="00E924DE">
        <w:rPr>
          <w:rFonts w:eastAsia="Calibri"/>
        </w:rPr>
        <w:t xml:space="preserve">en Patrimonio </w:t>
      </w:r>
      <w:r w:rsidR="00E34F83">
        <w:rPr>
          <w:rFonts w:eastAsia="Calibri"/>
        </w:rPr>
        <w:t>edificado y mueble</w:t>
      </w:r>
      <w:r w:rsidR="00C80503">
        <w:rPr>
          <w:rFonts w:eastAsia="Calibri"/>
        </w:rPr>
        <w:t>”</w:t>
      </w:r>
    </w:p>
    <w:p w:rsidR="00E924DE" w:rsidRPr="00E924DE" w:rsidRDefault="00E924DE" w:rsidP="00E924D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24DE" w:rsidRPr="00E924DE" w:rsidRDefault="00E924DE" w:rsidP="00E924D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24DE">
        <w:rPr>
          <w:rFonts w:ascii="Times New Roman" w:eastAsia="Calibri" w:hAnsi="Times New Roman" w:cs="Times New Roman"/>
          <w:b/>
          <w:sz w:val="24"/>
          <w:szCs w:val="24"/>
        </w:rPr>
        <w:t>Responsables:</w:t>
      </w:r>
      <w:r w:rsidR="00424120">
        <w:rPr>
          <w:rFonts w:ascii="Times New Roman" w:eastAsia="Calibri" w:hAnsi="Times New Roman" w:cs="Times New Roman"/>
          <w:sz w:val="24"/>
          <w:szCs w:val="24"/>
        </w:rPr>
        <w:t xml:space="preserve"> Dra</w:t>
      </w:r>
      <w:r w:rsidRPr="00E924DE">
        <w:rPr>
          <w:rFonts w:ascii="Times New Roman" w:eastAsia="Calibri" w:hAnsi="Times New Roman" w:cs="Times New Roman"/>
          <w:sz w:val="24"/>
          <w:szCs w:val="24"/>
        </w:rPr>
        <w:t xml:space="preserve">. Alejandra T. </w:t>
      </w:r>
      <w:proofErr w:type="spellStart"/>
      <w:r w:rsidRPr="00E924DE">
        <w:rPr>
          <w:rFonts w:ascii="Times New Roman" w:eastAsia="Calibri" w:hAnsi="Times New Roman" w:cs="Times New Roman"/>
          <w:sz w:val="24"/>
          <w:szCs w:val="24"/>
        </w:rPr>
        <w:t>Fazio</w:t>
      </w:r>
      <w:proofErr w:type="spellEnd"/>
      <w:r w:rsidRPr="00E924DE">
        <w:rPr>
          <w:rFonts w:ascii="Times New Roman" w:eastAsia="Calibri" w:hAnsi="Times New Roman" w:cs="Times New Roman"/>
          <w:sz w:val="24"/>
          <w:szCs w:val="24"/>
        </w:rPr>
        <w:t xml:space="preserve">, Dra. Isabel E. Cinto, y </w:t>
      </w:r>
      <w:r w:rsidR="00424120">
        <w:rPr>
          <w:rFonts w:ascii="Times New Roman" w:eastAsia="Calibri" w:hAnsi="Times New Roman" w:cs="Times New Roman"/>
          <w:sz w:val="24"/>
          <w:szCs w:val="24"/>
        </w:rPr>
        <w:t>Dra</w:t>
      </w:r>
      <w:r w:rsidRPr="00E924DE">
        <w:rPr>
          <w:rFonts w:ascii="Times New Roman" w:eastAsia="Calibri" w:hAnsi="Times New Roman" w:cs="Times New Roman"/>
          <w:sz w:val="24"/>
          <w:szCs w:val="24"/>
        </w:rPr>
        <w:t xml:space="preserve">. Paula </w:t>
      </w:r>
      <w:proofErr w:type="spellStart"/>
      <w:r w:rsidRPr="00E924DE">
        <w:rPr>
          <w:rFonts w:ascii="Times New Roman" w:eastAsia="Calibri" w:hAnsi="Times New Roman" w:cs="Times New Roman"/>
          <w:sz w:val="24"/>
          <w:szCs w:val="24"/>
        </w:rPr>
        <w:t>Alfieri</w:t>
      </w:r>
      <w:proofErr w:type="spellEnd"/>
    </w:p>
    <w:p w:rsidR="00E924DE" w:rsidRPr="00E924DE" w:rsidRDefault="00E924DE" w:rsidP="00E924D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24DE" w:rsidRPr="00E924DE" w:rsidRDefault="00E924DE" w:rsidP="00E924D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24DE">
        <w:rPr>
          <w:rFonts w:ascii="Times New Roman" w:eastAsia="Calibri" w:hAnsi="Times New Roman" w:cs="Times New Roman"/>
          <w:b/>
          <w:sz w:val="24"/>
          <w:szCs w:val="24"/>
        </w:rPr>
        <w:t>Carga horaria:</w:t>
      </w:r>
      <w:r w:rsidRPr="00E924D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12</w:t>
      </w:r>
      <w:r w:rsidRPr="00E924DE">
        <w:rPr>
          <w:rFonts w:ascii="Times New Roman" w:eastAsia="Calibri" w:hAnsi="Times New Roman" w:cs="Times New Roman"/>
          <w:sz w:val="24"/>
          <w:szCs w:val="24"/>
        </w:rPr>
        <w:t xml:space="preserve"> horas</w:t>
      </w:r>
    </w:p>
    <w:p w:rsidR="00E924DE" w:rsidRPr="00E924DE" w:rsidRDefault="00E924DE" w:rsidP="00E924D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24DE" w:rsidRDefault="00561C17" w:rsidP="00E924D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Programa</w:t>
      </w:r>
      <w:r w:rsidR="00E924DE" w:rsidRPr="00E924DE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022489" w:rsidRPr="00E924DE" w:rsidRDefault="00022489" w:rsidP="00E924D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Día viernes 19/10/2018: </w:t>
      </w:r>
      <w:r w:rsidR="00761247">
        <w:rPr>
          <w:rFonts w:ascii="Times New Roman" w:eastAsia="Calibri" w:hAnsi="Times New Roman" w:cs="Times New Roman"/>
          <w:b/>
          <w:sz w:val="24"/>
          <w:szCs w:val="24"/>
        </w:rPr>
        <w:t xml:space="preserve">carga horaria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4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hs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E924DE" w:rsidRPr="00E924DE" w:rsidRDefault="00E924DE" w:rsidP="00E924DE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Reino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fungi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: el rol de los hongos en el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biodeterioro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E924DE" w:rsidRPr="00E924DE" w:rsidRDefault="00E924DE" w:rsidP="00E924DE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24DE">
        <w:rPr>
          <w:rFonts w:ascii="Times New Roman" w:eastAsia="Calibri" w:hAnsi="Times New Roman" w:cs="Times New Roman"/>
          <w:sz w:val="24"/>
          <w:szCs w:val="24"/>
        </w:rPr>
        <w:t xml:space="preserve">Hongos de vida libre: Metabolismo y modo de ataque. </w:t>
      </w:r>
    </w:p>
    <w:p w:rsidR="001667F7" w:rsidRPr="001667F7" w:rsidRDefault="00E924DE" w:rsidP="00907157">
      <w:pPr>
        <w:numPr>
          <w:ilvl w:val="0"/>
          <w:numId w:val="1"/>
        </w:numPr>
        <w:jc w:val="both"/>
        <w:rPr>
          <w:rFonts w:ascii="Times New Roman" w:eastAsiaTheme="minorHAnsi" w:hAnsi="Times New Roman"/>
          <w:sz w:val="24"/>
          <w:szCs w:val="24"/>
        </w:rPr>
      </w:pPr>
      <w:r w:rsidRPr="00E924DE">
        <w:rPr>
          <w:rFonts w:ascii="Times New Roman" w:eastAsia="Calibri" w:hAnsi="Times New Roman" w:cs="Times New Roman"/>
          <w:sz w:val="24"/>
          <w:szCs w:val="24"/>
        </w:rPr>
        <w:t xml:space="preserve">Factores </w:t>
      </w:r>
      <w:r w:rsidR="00022489">
        <w:rPr>
          <w:rFonts w:ascii="Times New Roman" w:eastAsia="Calibri" w:hAnsi="Times New Roman" w:cs="Times New Roman"/>
          <w:sz w:val="24"/>
          <w:szCs w:val="24"/>
        </w:rPr>
        <w:t xml:space="preserve">ambientales </w:t>
      </w:r>
      <w:r w:rsidRPr="00E924DE">
        <w:rPr>
          <w:rFonts w:ascii="Times New Roman" w:eastAsia="Calibri" w:hAnsi="Times New Roman" w:cs="Times New Roman"/>
          <w:sz w:val="24"/>
          <w:szCs w:val="24"/>
        </w:rPr>
        <w:t xml:space="preserve">que favorecen el </w:t>
      </w:r>
      <w:proofErr w:type="spellStart"/>
      <w:r w:rsidRPr="00E924DE">
        <w:rPr>
          <w:rFonts w:ascii="Times New Roman" w:eastAsia="Calibri" w:hAnsi="Times New Roman" w:cs="Times New Roman"/>
          <w:sz w:val="24"/>
          <w:szCs w:val="24"/>
        </w:rPr>
        <w:t>biodeterioro</w:t>
      </w:r>
      <w:proofErr w:type="spellEnd"/>
      <w:r w:rsidR="0002248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E924D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5C3A" w:rsidRDefault="001667F7" w:rsidP="00B922C5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Biodeterioro</w:t>
      </w:r>
      <w:proofErr w:type="spellEnd"/>
      <w:r>
        <w:rPr>
          <w:rFonts w:ascii="Times New Roman" w:hAnsi="Times New Roman"/>
          <w:sz w:val="24"/>
          <w:szCs w:val="24"/>
        </w:rPr>
        <w:t xml:space="preserve"> en </w:t>
      </w:r>
      <w:r w:rsidR="00B922C5">
        <w:rPr>
          <w:rFonts w:ascii="Times New Roman" w:hAnsi="Times New Roman"/>
          <w:sz w:val="24"/>
          <w:szCs w:val="24"/>
        </w:rPr>
        <w:t xml:space="preserve">sustratos orgánicos: </w:t>
      </w:r>
      <w:r w:rsidR="00435C3A">
        <w:rPr>
          <w:rFonts w:ascii="Times New Roman" w:hAnsi="Times New Roman"/>
          <w:sz w:val="24"/>
          <w:szCs w:val="24"/>
        </w:rPr>
        <w:t>Madera y papel.</w:t>
      </w:r>
    </w:p>
    <w:p w:rsidR="00435C3A" w:rsidRDefault="00022489" w:rsidP="00435C3A">
      <w:pPr>
        <w:pStyle w:val="Prrafodelista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</w:t>
      </w:r>
      <w:r w:rsidR="001667F7" w:rsidRPr="00435C3A">
        <w:rPr>
          <w:rFonts w:ascii="Times New Roman" w:hAnsi="Times New Roman"/>
          <w:sz w:val="24"/>
          <w:szCs w:val="24"/>
        </w:rPr>
        <w:t>ongos xilófagos y la p</w:t>
      </w:r>
      <w:r w:rsidR="00E924DE" w:rsidRPr="00435C3A">
        <w:rPr>
          <w:rFonts w:ascii="Times New Roman" w:hAnsi="Times New Roman"/>
          <w:sz w:val="24"/>
          <w:szCs w:val="24"/>
        </w:rPr>
        <w:t xml:space="preserve">roducción de enzimas fúngicas relacionadas con </w:t>
      </w:r>
      <w:proofErr w:type="spellStart"/>
      <w:r w:rsidR="00E924DE" w:rsidRPr="00435C3A">
        <w:rPr>
          <w:rFonts w:ascii="Times New Roman" w:hAnsi="Times New Roman"/>
          <w:sz w:val="24"/>
          <w:szCs w:val="24"/>
        </w:rPr>
        <w:t>biodeterioro</w:t>
      </w:r>
      <w:proofErr w:type="spellEnd"/>
      <w:r w:rsidR="00E924DE" w:rsidRPr="00435C3A">
        <w:rPr>
          <w:rFonts w:ascii="Times New Roman" w:hAnsi="Times New Roman"/>
          <w:sz w:val="24"/>
          <w:szCs w:val="24"/>
        </w:rPr>
        <w:t xml:space="preserve"> de Patrimonio</w:t>
      </w:r>
      <w:r>
        <w:rPr>
          <w:rFonts w:ascii="Times New Roman" w:hAnsi="Times New Roman"/>
          <w:sz w:val="24"/>
          <w:szCs w:val="24"/>
        </w:rPr>
        <w:t xml:space="preserve"> Cultural y acervos documentales</w:t>
      </w:r>
      <w:r w:rsidR="00E924DE" w:rsidRPr="00435C3A">
        <w:rPr>
          <w:rFonts w:ascii="Times New Roman" w:hAnsi="Times New Roman"/>
          <w:sz w:val="24"/>
          <w:szCs w:val="24"/>
        </w:rPr>
        <w:t xml:space="preserve">. </w:t>
      </w:r>
      <w:r w:rsidR="001667F7" w:rsidRPr="00435C3A">
        <w:rPr>
          <w:rFonts w:ascii="Times New Roman" w:hAnsi="Times New Roman"/>
          <w:sz w:val="24"/>
          <w:szCs w:val="24"/>
        </w:rPr>
        <w:t xml:space="preserve">Distintos patrones de degradación. </w:t>
      </w:r>
    </w:p>
    <w:p w:rsidR="00435C3A" w:rsidRDefault="00B922C5" w:rsidP="00907157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Biodeterioro</w:t>
      </w:r>
      <w:proofErr w:type="spellEnd"/>
      <w:r>
        <w:rPr>
          <w:rFonts w:ascii="Times New Roman" w:hAnsi="Times New Roman"/>
          <w:sz w:val="24"/>
          <w:szCs w:val="24"/>
        </w:rPr>
        <w:t xml:space="preserve"> en sustratos inorgánicos: </w:t>
      </w:r>
      <w:r w:rsidR="00435C3A">
        <w:rPr>
          <w:rFonts w:ascii="Times New Roman" w:hAnsi="Times New Roman"/>
          <w:sz w:val="24"/>
          <w:szCs w:val="24"/>
        </w:rPr>
        <w:t>Piedra, concreto y arquitectura en tierra.</w:t>
      </w:r>
    </w:p>
    <w:p w:rsidR="00D23560" w:rsidRDefault="00B922C5" w:rsidP="00D23560">
      <w:pPr>
        <w:pStyle w:val="Prrafodelist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435C3A">
        <w:rPr>
          <w:rFonts w:ascii="Times New Roman" w:hAnsi="Times New Roman"/>
          <w:sz w:val="24"/>
          <w:szCs w:val="24"/>
        </w:rPr>
        <w:t xml:space="preserve">Hongos </w:t>
      </w:r>
      <w:proofErr w:type="spellStart"/>
      <w:r w:rsidRPr="00435C3A">
        <w:rPr>
          <w:rFonts w:ascii="Times New Roman" w:hAnsi="Times New Roman"/>
          <w:sz w:val="24"/>
          <w:szCs w:val="24"/>
        </w:rPr>
        <w:t>melanizados</w:t>
      </w:r>
      <w:proofErr w:type="spellEnd"/>
      <w:r w:rsidRPr="00435C3A">
        <w:rPr>
          <w:rFonts w:ascii="Times New Roman" w:hAnsi="Times New Roman"/>
          <w:sz w:val="24"/>
          <w:szCs w:val="24"/>
        </w:rPr>
        <w:t xml:space="preserve"> y </w:t>
      </w:r>
      <w:r w:rsidR="00E924DE" w:rsidRPr="00435C3A">
        <w:rPr>
          <w:rFonts w:ascii="Times New Roman" w:hAnsi="Times New Roman"/>
          <w:sz w:val="24"/>
          <w:szCs w:val="24"/>
        </w:rPr>
        <w:t xml:space="preserve">daño estético. </w:t>
      </w:r>
      <w:r w:rsidR="00022489">
        <w:rPr>
          <w:rFonts w:ascii="Times New Roman" w:hAnsi="Times New Roman"/>
          <w:sz w:val="24"/>
          <w:szCs w:val="24"/>
        </w:rPr>
        <w:t xml:space="preserve">Cambios en las propiedades del sustrato. </w:t>
      </w:r>
    </w:p>
    <w:p w:rsidR="00435C3A" w:rsidRDefault="00D54F1F" w:rsidP="00D23560">
      <w:pPr>
        <w:pStyle w:val="Prrafodelist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D23560">
        <w:rPr>
          <w:rFonts w:ascii="Times New Roman" w:hAnsi="Times New Roman"/>
          <w:sz w:val="24"/>
          <w:szCs w:val="24"/>
        </w:rPr>
        <w:t>Liquenes</w:t>
      </w:r>
      <w:proofErr w:type="spellEnd"/>
      <w:r w:rsidR="00022489" w:rsidRPr="00D23560">
        <w:rPr>
          <w:rFonts w:ascii="Times New Roman" w:hAnsi="Times New Roman"/>
          <w:sz w:val="24"/>
          <w:szCs w:val="24"/>
        </w:rPr>
        <w:t xml:space="preserve">: Características, reproducción, metabolismo: </w:t>
      </w:r>
      <w:r w:rsidRPr="00D23560">
        <w:rPr>
          <w:rFonts w:ascii="Times New Roman" w:hAnsi="Times New Roman"/>
          <w:sz w:val="24"/>
          <w:szCs w:val="24"/>
        </w:rPr>
        <w:t xml:space="preserve">producción de sustancias </w:t>
      </w:r>
      <w:proofErr w:type="spellStart"/>
      <w:r w:rsidR="00022489" w:rsidRPr="00D23560">
        <w:rPr>
          <w:rFonts w:ascii="Times New Roman" w:hAnsi="Times New Roman"/>
          <w:sz w:val="24"/>
          <w:szCs w:val="24"/>
        </w:rPr>
        <w:t>liquénicas</w:t>
      </w:r>
      <w:proofErr w:type="spellEnd"/>
      <w:r w:rsidR="00022489" w:rsidRPr="00D23560">
        <w:rPr>
          <w:rFonts w:ascii="Times New Roman" w:hAnsi="Times New Roman"/>
          <w:sz w:val="24"/>
          <w:szCs w:val="24"/>
        </w:rPr>
        <w:t xml:space="preserve"> y </w:t>
      </w:r>
      <w:r w:rsidRPr="00D23560">
        <w:rPr>
          <w:rFonts w:ascii="Times New Roman" w:hAnsi="Times New Roman"/>
          <w:sz w:val="24"/>
          <w:szCs w:val="24"/>
        </w:rPr>
        <w:t xml:space="preserve">la desmineralización del sustrato. </w:t>
      </w:r>
    </w:p>
    <w:p w:rsidR="00C945C2" w:rsidRDefault="00C945C2" w:rsidP="00D23560">
      <w:pPr>
        <w:pStyle w:val="Prrafodelist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Biopelículas</w:t>
      </w:r>
      <w:proofErr w:type="spellEnd"/>
      <w:r>
        <w:rPr>
          <w:rFonts w:ascii="Times New Roman" w:hAnsi="Times New Roman"/>
          <w:sz w:val="24"/>
          <w:szCs w:val="24"/>
        </w:rPr>
        <w:t>: organismos involucrados y modo de acción.</w:t>
      </w:r>
    </w:p>
    <w:p w:rsidR="00B81D48" w:rsidRDefault="00B81D48" w:rsidP="00B81D48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Biodeterioro</w:t>
      </w:r>
      <w:proofErr w:type="spellEnd"/>
      <w:r>
        <w:rPr>
          <w:rFonts w:ascii="Times New Roman" w:hAnsi="Times New Roman"/>
          <w:sz w:val="24"/>
          <w:szCs w:val="24"/>
        </w:rPr>
        <w:t xml:space="preserve"> de resinas y acrílicos en Patrimonio Cultural: </w:t>
      </w:r>
      <w:proofErr w:type="spellStart"/>
      <w:r>
        <w:rPr>
          <w:rFonts w:ascii="Times New Roman" w:hAnsi="Times New Roman"/>
          <w:sz w:val="24"/>
          <w:szCs w:val="24"/>
        </w:rPr>
        <w:t>biocidas</w:t>
      </w:r>
      <w:proofErr w:type="spellEnd"/>
      <w:r>
        <w:rPr>
          <w:rFonts w:ascii="Times New Roman" w:hAnsi="Times New Roman"/>
          <w:sz w:val="24"/>
          <w:szCs w:val="24"/>
        </w:rPr>
        <w:t xml:space="preserve"> convencionales versus </w:t>
      </w:r>
      <w:proofErr w:type="spellStart"/>
      <w:r>
        <w:rPr>
          <w:rFonts w:ascii="Times New Roman" w:hAnsi="Times New Roman"/>
          <w:sz w:val="24"/>
          <w:szCs w:val="24"/>
        </w:rPr>
        <w:t>biocidas</w:t>
      </w:r>
      <w:proofErr w:type="spellEnd"/>
      <w:r>
        <w:rPr>
          <w:rFonts w:ascii="Times New Roman" w:hAnsi="Times New Roman"/>
          <w:sz w:val="24"/>
          <w:szCs w:val="24"/>
        </w:rPr>
        <w:t xml:space="preserve"> naturales.</w:t>
      </w:r>
    </w:p>
    <w:p w:rsidR="00BB50B4" w:rsidRPr="008D56AD" w:rsidRDefault="0026515F" w:rsidP="00BB50B4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453">
        <w:rPr>
          <w:rFonts w:ascii="Times New Roman" w:eastAsia="Calibri" w:hAnsi="Times New Roman" w:cs="Times New Roman"/>
          <w:sz w:val="24"/>
          <w:szCs w:val="24"/>
        </w:rPr>
        <w:t xml:space="preserve">Control del </w:t>
      </w:r>
      <w:proofErr w:type="spellStart"/>
      <w:r w:rsidRPr="00D26453">
        <w:rPr>
          <w:rFonts w:ascii="Times New Roman" w:eastAsia="Calibri" w:hAnsi="Times New Roman" w:cs="Times New Roman"/>
          <w:sz w:val="24"/>
          <w:szCs w:val="24"/>
        </w:rPr>
        <w:t>biodeterioro</w:t>
      </w:r>
      <w:proofErr w:type="spellEnd"/>
      <w:r w:rsidRPr="00D26453">
        <w:rPr>
          <w:rFonts w:ascii="Times New Roman" w:eastAsia="Calibri" w:hAnsi="Times New Roman" w:cs="Times New Roman"/>
          <w:sz w:val="24"/>
          <w:szCs w:val="24"/>
        </w:rPr>
        <w:t xml:space="preserve">. Protección y conservación del Patrimonio: Principales </w:t>
      </w:r>
      <w:r w:rsidRPr="008D56AD">
        <w:rPr>
          <w:rFonts w:ascii="Times New Roman" w:eastAsia="Calibri" w:hAnsi="Times New Roman" w:cs="Times New Roman"/>
          <w:sz w:val="24"/>
          <w:szCs w:val="24"/>
        </w:rPr>
        <w:t xml:space="preserve">avances en sistemas protectores. </w:t>
      </w:r>
    </w:p>
    <w:p w:rsidR="0026515F" w:rsidRPr="008D56AD" w:rsidRDefault="00BB50B4" w:rsidP="00BB50B4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56AD">
        <w:rPr>
          <w:rFonts w:ascii="Times New Roman" w:eastAsia="Calibri" w:hAnsi="Times New Roman" w:cs="Times New Roman"/>
          <w:sz w:val="24"/>
          <w:szCs w:val="24"/>
        </w:rPr>
        <w:t>Principios básicos de la protección de la madera en la construcción. Métodos de protección. Preservación con productos químicos. Tipos de preservantes. Preservantes más usados. Últimas tendencias en preservación y consolidación. Técnicas para aplicación de preservantes. Métodos con y sin presión. Recubrimientos: conceptos de tratamientos superficiales. Fundamentos físicos de aplicación de pinturas y barnices. Protección contra fuego</w:t>
      </w:r>
    </w:p>
    <w:p w:rsidR="00E871BB" w:rsidRDefault="00E871BB" w:rsidP="00E871BB">
      <w:pPr>
        <w:ind w:left="720"/>
        <w:jc w:val="both"/>
        <w:rPr>
          <w:rFonts w:ascii="Times New Roman" w:hAnsi="Times New Roman"/>
          <w:sz w:val="24"/>
          <w:szCs w:val="24"/>
        </w:rPr>
      </w:pPr>
    </w:p>
    <w:p w:rsidR="00E871BB" w:rsidRDefault="00E871BB" w:rsidP="00E871BB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Día sábado 20</w:t>
      </w:r>
      <w:r w:rsidR="00DD14CA">
        <w:rPr>
          <w:rFonts w:ascii="Times New Roman" w:eastAsia="Calibri" w:hAnsi="Times New Roman" w:cs="Times New Roman"/>
          <w:b/>
          <w:sz w:val="24"/>
          <w:szCs w:val="24"/>
        </w:rPr>
        <w:t xml:space="preserve">/10/2018: </w:t>
      </w:r>
      <w:r w:rsidR="00761247">
        <w:rPr>
          <w:rFonts w:ascii="Times New Roman" w:eastAsia="Calibri" w:hAnsi="Times New Roman" w:cs="Times New Roman"/>
          <w:b/>
          <w:sz w:val="24"/>
          <w:szCs w:val="24"/>
        </w:rPr>
        <w:t xml:space="preserve">carga horaria </w:t>
      </w:r>
      <w:r w:rsidR="00DD14CA">
        <w:rPr>
          <w:rFonts w:ascii="Times New Roman" w:eastAsia="Calibri" w:hAnsi="Times New Roman" w:cs="Times New Roman"/>
          <w:b/>
          <w:sz w:val="24"/>
          <w:szCs w:val="24"/>
        </w:rPr>
        <w:t>8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hs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DD7070" w:rsidRDefault="00CE4BAD" w:rsidP="00DD7070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Muestreo: metodología para la toma de muestras en base a los diferentes tipos de sustratos que conforman el Patrimonio. E</w:t>
      </w:r>
      <w:r w:rsidR="00DD7070">
        <w:rPr>
          <w:rFonts w:ascii="Times New Roman" w:eastAsia="Calibri" w:hAnsi="Times New Roman" w:cs="Times New Roman"/>
          <w:sz w:val="24"/>
          <w:szCs w:val="24"/>
        </w:rPr>
        <w:t xml:space="preserve">valuación </w:t>
      </w:r>
      <w:r w:rsidRPr="00CE4BAD">
        <w:rPr>
          <w:rFonts w:ascii="Times New Roman" w:eastAsia="Calibri" w:hAnsi="Times New Roman" w:cs="Times New Roman"/>
          <w:i/>
          <w:sz w:val="24"/>
          <w:szCs w:val="24"/>
        </w:rPr>
        <w:t>“in situ”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D7070">
        <w:rPr>
          <w:rFonts w:ascii="Times New Roman" w:eastAsia="Calibri" w:hAnsi="Times New Roman" w:cs="Times New Roman"/>
          <w:sz w:val="24"/>
          <w:szCs w:val="24"/>
        </w:rPr>
        <w:t xml:space="preserve">del </w:t>
      </w:r>
      <w:proofErr w:type="spellStart"/>
      <w:r w:rsidR="00DD7070">
        <w:rPr>
          <w:rFonts w:ascii="Times New Roman" w:eastAsia="Calibri" w:hAnsi="Times New Roman" w:cs="Times New Roman"/>
          <w:sz w:val="24"/>
          <w:szCs w:val="24"/>
        </w:rPr>
        <w:t>biodeterioro</w:t>
      </w:r>
      <w:proofErr w:type="spellEnd"/>
      <w:r w:rsidR="00DD7070">
        <w:rPr>
          <w:rFonts w:ascii="Times New Roman" w:eastAsia="Calibri" w:hAnsi="Times New Roman" w:cs="Times New Roman"/>
          <w:sz w:val="24"/>
          <w:szCs w:val="24"/>
        </w:rPr>
        <w:t xml:space="preserve"> y medidas de seguridad para la toma de muestras.</w:t>
      </w:r>
    </w:p>
    <w:p w:rsidR="00D26453" w:rsidRDefault="00D26453" w:rsidP="00D26453">
      <w:pPr>
        <w:pStyle w:val="Prrafodelista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3D2A0B">
        <w:rPr>
          <w:rFonts w:ascii="Times New Roman" w:eastAsia="Calibri" w:hAnsi="Times New Roman" w:cs="Times New Roman"/>
          <w:sz w:val="24"/>
          <w:szCs w:val="24"/>
        </w:rPr>
        <w:t>Presentación de los materiales más comunes en edificios patrimoniales: análisis de vulnerabilidad al deterioro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D23560" w:rsidRPr="00D23560" w:rsidRDefault="00D23560" w:rsidP="00D23560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I</w:t>
      </w:r>
      <w:r w:rsidRPr="00E924DE">
        <w:rPr>
          <w:rFonts w:ascii="Times New Roman" w:eastAsia="Calibri" w:hAnsi="Times New Roman" w:cs="Times New Roman"/>
          <w:sz w:val="24"/>
          <w:szCs w:val="24"/>
        </w:rPr>
        <w:t>dentificación</w:t>
      </w:r>
      <w:r w:rsidR="009A15F7">
        <w:rPr>
          <w:rFonts w:ascii="Times New Roman" w:eastAsia="Calibri" w:hAnsi="Times New Roman" w:cs="Times New Roman"/>
          <w:sz w:val="24"/>
          <w:szCs w:val="24"/>
        </w:rPr>
        <w:t>:</w:t>
      </w:r>
      <w:r w:rsidRPr="00E924D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A15F7">
        <w:rPr>
          <w:rFonts w:ascii="Times New Roman" w:eastAsia="Calibri" w:hAnsi="Times New Roman" w:cs="Times New Roman"/>
          <w:sz w:val="24"/>
          <w:szCs w:val="24"/>
        </w:rPr>
        <w:t xml:space="preserve">Observación de preparados bajo </w:t>
      </w:r>
      <w:proofErr w:type="spellStart"/>
      <w:r w:rsidR="009A15F7">
        <w:rPr>
          <w:rFonts w:ascii="Times New Roman" w:eastAsia="Calibri" w:hAnsi="Times New Roman" w:cs="Times New Roman"/>
          <w:sz w:val="24"/>
          <w:szCs w:val="24"/>
        </w:rPr>
        <w:t>microscópio</w:t>
      </w:r>
      <w:proofErr w:type="spellEnd"/>
      <w:r w:rsidR="009A15F7">
        <w:rPr>
          <w:rFonts w:ascii="Times New Roman" w:eastAsia="Calibri" w:hAnsi="Times New Roman" w:cs="Times New Roman"/>
          <w:sz w:val="24"/>
          <w:szCs w:val="24"/>
        </w:rPr>
        <w:t xml:space="preserve"> óptico para la observación de las estructuras fúngicas, y uso de claves para la identificación de los géneros hongos</w:t>
      </w:r>
      <w:r w:rsidR="00C945C2">
        <w:rPr>
          <w:rFonts w:ascii="Times New Roman" w:eastAsia="Calibri" w:hAnsi="Times New Roman" w:cs="Times New Roman"/>
          <w:sz w:val="24"/>
          <w:szCs w:val="24"/>
        </w:rPr>
        <w:t xml:space="preserve"> y líquenes</w:t>
      </w:r>
      <w:r w:rsidR="009A15F7">
        <w:rPr>
          <w:rFonts w:ascii="Times New Roman" w:eastAsia="Calibri" w:hAnsi="Times New Roman" w:cs="Times New Roman"/>
          <w:sz w:val="24"/>
          <w:szCs w:val="24"/>
        </w:rPr>
        <w:t xml:space="preserve"> característicos de </w:t>
      </w:r>
      <w:proofErr w:type="spellStart"/>
      <w:r w:rsidR="009A15F7">
        <w:rPr>
          <w:rFonts w:ascii="Times New Roman" w:eastAsia="Calibri" w:hAnsi="Times New Roman" w:cs="Times New Roman"/>
          <w:sz w:val="24"/>
          <w:szCs w:val="24"/>
        </w:rPr>
        <w:t>biodeterioro</w:t>
      </w:r>
      <w:proofErr w:type="spellEnd"/>
      <w:r w:rsidR="009A15F7">
        <w:rPr>
          <w:rFonts w:ascii="Times New Roman" w:eastAsia="Calibri" w:hAnsi="Times New Roman" w:cs="Times New Roman"/>
          <w:sz w:val="24"/>
          <w:szCs w:val="24"/>
        </w:rPr>
        <w:t xml:space="preserve"> de Patrimonio. </w:t>
      </w:r>
    </w:p>
    <w:p w:rsidR="00E924DE" w:rsidRDefault="00DD7070" w:rsidP="00E924DE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Métodos de a</w:t>
      </w:r>
      <w:r w:rsidR="00CE4BAD">
        <w:rPr>
          <w:rFonts w:ascii="Times New Roman" w:eastAsia="Calibri" w:hAnsi="Times New Roman" w:cs="Times New Roman"/>
          <w:sz w:val="24"/>
          <w:szCs w:val="24"/>
        </w:rPr>
        <w:t>islamiento</w:t>
      </w:r>
      <w:r w:rsidR="00D23560">
        <w:rPr>
          <w:rFonts w:ascii="Times New Roman" w:eastAsia="Calibri" w:hAnsi="Times New Roman" w:cs="Times New Roman"/>
          <w:sz w:val="24"/>
          <w:szCs w:val="24"/>
        </w:rPr>
        <w:t xml:space="preserve"> y</w:t>
      </w:r>
      <w:r w:rsidR="00E924DE" w:rsidRPr="00E924DE">
        <w:rPr>
          <w:rFonts w:ascii="Times New Roman" w:eastAsia="Calibri" w:hAnsi="Times New Roman" w:cs="Times New Roman"/>
          <w:sz w:val="24"/>
          <w:szCs w:val="24"/>
        </w:rPr>
        <w:t xml:space="preserve"> cultivo </w:t>
      </w:r>
      <w:r w:rsidR="009D4083">
        <w:rPr>
          <w:rFonts w:ascii="Times New Roman" w:eastAsia="Calibri" w:hAnsi="Times New Roman" w:cs="Times New Roman"/>
          <w:sz w:val="24"/>
          <w:szCs w:val="24"/>
        </w:rPr>
        <w:t xml:space="preserve">de hongos que interviene en el </w:t>
      </w:r>
      <w:proofErr w:type="spellStart"/>
      <w:r w:rsidR="009D4083">
        <w:rPr>
          <w:rFonts w:ascii="Times New Roman" w:eastAsia="Calibri" w:hAnsi="Times New Roman" w:cs="Times New Roman"/>
          <w:sz w:val="24"/>
          <w:szCs w:val="24"/>
        </w:rPr>
        <w:t>biodeterioro</w:t>
      </w:r>
      <w:proofErr w:type="spellEnd"/>
      <w:r w:rsidR="009D4083">
        <w:rPr>
          <w:rFonts w:ascii="Times New Roman" w:eastAsia="Calibri" w:hAnsi="Times New Roman" w:cs="Times New Roman"/>
          <w:sz w:val="24"/>
          <w:szCs w:val="24"/>
        </w:rPr>
        <w:t xml:space="preserve"> a partir de los distintos sustratos con signos de </w:t>
      </w:r>
      <w:proofErr w:type="spellStart"/>
      <w:r w:rsidR="009D4083">
        <w:rPr>
          <w:rFonts w:ascii="Times New Roman" w:eastAsia="Calibri" w:hAnsi="Times New Roman" w:cs="Times New Roman"/>
          <w:sz w:val="24"/>
          <w:szCs w:val="24"/>
        </w:rPr>
        <w:t>biodeterioro</w:t>
      </w:r>
      <w:proofErr w:type="spellEnd"/>
      <w:r w:rsidR="009D408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33997" w:rsidRDefault="00C945C2" w:rsidP="00E924DE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Ensayos</w:t>
      </w:r>
      <w:r w:rsidR="00333997">
        <w:rPr>
          <w:rFonts w:ascii="Times New Roman" w:eastAsia="Calibri" w:hAnsi="Times New Roman" w:cs="Times New Roman"/>
          <w:sz w:val="24"/>
          <w:szCs w:val="24"/>
        </w:rPr>
        <w:t xml:space="preserve"> cualitativos para evaluar la producción de diferentes tipos de enzimas fúngicas relacionadas con el </w:t>
      </w:r>
      <w:proofErr w:type="spellStart"/>
      <w:r w:rsidR="00333997">
        <w:rPr>
          <w:rFonts w:ascii="Times New Roman" w:eastAsia="Calibri" w:hAnsi="Times New Roman" w:cs="Times New Roman"/>
          <w:sz w:val="24"/>
          <w:szCs w:val="24"/>
        </w:rPr>
        <w:t>biodeterioro</w:t>
      </w:r>
      <w:proofErr w:type="spellEnd"/>
      <w:r w:rsidR="00333997">
        <w:rPr>
          <w:rFonts w:ascii="Times New Roman" w:eastAsia="Calibri" w:hAnsi="Times New Roman" w:cs="Times New Roman"/>
          <w:sz w:val="24"/>
          <w:szCs w:val="24"/>
        </w:rPr>
        <w:t xml:space="preserve"> de sustratos orgánicos.</w:t>
      </w:r>
    </w:p>
    <w:p w:rsidR="00D26453" w:rsidRPr="00D26453" w:rsidRDefault="00D26453" w:rsidP="00D26453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453">
        <w:rPr>
          <w:rFonts w:ascii="Times New Roman" w:eastAsia="Calibri" w:hAnsi="Times New Roman" w:cs="Times New Roman"/>
          <w:sz w:val="24"/>
          <w:szCs w:val="24"/>
        </w:rPr>
        <w:t xml:space="preserve">Estrategias de detección del </w:t>
      </w:r>
      <w:proofErr w:type="spellStart"/>
      <w:r w:rsidRPr="00D26453">
        <w:rPr>
          <w:rFonts w:ascii="Times New Roman" w:eastAsia="Calibri" w:hAnsi="Times New Roman" w:cs="Times New Roman"/>
          <w:sz w:val="24"/>
          <w:szCs w:val="24"/>
        </w:rPr>
        <w:t>biodeterioro</w:t>
      </w:r>
      <w:proofErr w:type="spellEnd"/>
      <w:r w:rsidRPr="00D26453">
        <w:rPr>
          <w:rFonts w:ascii="Times New Roman" w:eastAsia="Calibri" w:hAnsi="Times New Roman" w:cs="Times New Roman"/>
          <w:sz w:val="24"/>
          <w:szCs w:val="24"/>
        </w:rPr>
        <w:t xml:space="preserve"> de materiales. Análisis de las implicancias estructurales</w:t>
      </w:r>
      <w:r w:rsidR="00B81D4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26453" w:rsidRDefault="00D26453" w:rsidP="00D26453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6453">
        <w:rPr>
          <w:rFonts w:ascii="Times New Roman" w:eastAsia="Calibri" w:hAnsi="Times New Roman" w:cs="Times New Roman"/>
          <w:sz w:val="24"/>
          <w:szCs w:val="24"/>
        </w:rPr>
        <w:t>Formulación y aplicación de sistemas protectores: conceptos básicos según la problemática de deterioro según las normativas vigentes en cuanto a conservación de bienes patrimoniales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BB50B4" w:rsidRPr="008D56AD" w:rsidRDefault="00BB50B4" w:rsidP="00BB50B4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56AD">
        <w:rPr>
          <w:rFonts w:ascii="Times New Roman" w:eastAsia="Calibri" w:hAnsi="Times New Roman" w:cs="Times New Roman"/>
          <w:sz w:val="24"/>
          <w:szCs w:val="24"/>
        </w:rPr>
        <w:t xml:space="preserve">Aplicación de sistemas protectores y evaluación de capacidad preservante. Ensayos de deterioro in vitro: Inoculación fúngica, </w:t>
      </w:r>
      <w:proofErr w:type="spellStart"/>
      <w:r w:rsidRPr="008D56AD">
        <w:rPr>
          <w:rFonts w:ascii="Times New Roman" w:eastAsia="Calibri" w:hAnsi="Times New Roman" w:cs="Times New Roman"/>
          <w:sz w:val="24"/>
          <w:szCs w:val="24"/>
        </w:rPr>
        <w:t>hidrorrepelencia</w:t>
      </w:r>
      <w:proofErr w:type="spellEnd"/>
      <w:r w:rsidRPr="008D56AD">
        <w:rPr>
          <w:rFonts w:ascii="Times New Roman" w:eastAsia="Calibri" w:hAnsi="Times New Roman" w:cs="Times New Roman"/>
          <w:sz w:val="24"/>
          <w:szCs w:val="24"/>
        </w:rPr>
        <w:t xml:space="preserve"> y evaluación ignífuga</w:t>
      </w:r>
    </w:p>
    <w:p w:rsidR="00B81D48" w:rsidRPr="00D26453" w:rsidRDefault="00B81D48" w:rsidP="00D26453">
      <w:pPr>
        <w:numPr>
          <w:ilvl w:val="0"/>
          <w:numId w:val="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Casos de estudio.</w:t>
      </w:r>
    </w:p>
    <w:p w:rsidR="00D26453" w:rsidRDefault="00D26453" w:rsidP="00D26453">
      <w:pPr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3D2A0B" w:rsidRPr="00E924DE" w:rsidRDefault="003D2A0B" w:rsidP="00E871BB">
      <w:pPr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D7078" w:rsidRDefault="007D7078"/>
    <w:sectPr w:rsidR="007D70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29" type="#_x0000_t75" style="width:11.25pt;height:11.25pt" o:bullet="t">
        <v:imagedata r:id="rId1" o:title="mso4EBE"/>
      </v:shape>
    </w:pict>
  </w:numPicBullet>
  <w:abstractNum w:abstractNumId="0" w15:restartNumberingAfterBreak="0">
    <w:nsid w:val="0FCB7F64"/>
    <w:multiLevelType w:val="hybridMultilevel"/>
    <w:tmpl w:val="DCB84078"/>
    <w:lvl w:ilvl="0" w:tplc="2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812EDE"/>
    <w:multiLevelType w:val="hybridMultilevel"/>
    <w:tmpl w:val="7898C7C4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C08691A"/>
    <w:multiLevelType w:val="hybridMultilevel"/>
    <w:tmpl w:val="914CA620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4DE"/>
    <w:rsid w:val="00022489"/>
    <w:rsid w:val="001667F7"/>
    <w:rsid w:val="002347ED"/>
    <w:rsid w:val="0026286E"/>
    <w:rsid w:val="0026515F"/>
    <w:rsid w:val="00333997"/>
    <w:rsid w:val="003D2A0B"/>
    <w:rsid w:val="00424120"/>
    <w:rsid w:val="00435C3A"/>
    <w:rsid w:val="00561C17"/>
    <w:rsid w:val="006A62A9"/>
    <w:rsid w:val="00761247"/>
    <w:rsid w:val="007D7078"/>
    <w:rsid w:val="0088381A"/>
    <w:rsid w:val="008D56AD"/>
    <w:rsid w:val="008F3197"/>
    <w:rsid w:val="00954035"/>
    <w:rsid w:val="009A15F7"/>
    <w:rsid w:val="009D4083"/>
    <w:rsid w:val="00B81D48"/>
    <w:rsid w:val="00B922C5"/>
    <w:rsid w:val="00BB50B4"/>
    <w:rsid w:val="00BC1BFC"/>
    <w:rsid w:val="00C80503"/>
    <w:rsid w:val="00C945C2"/>
    <w:rsid w:val="00CE4BAD"/>
    <w:rsid w:val="00D23560"/>
    <w:rsid w:val="00D26453"/>
    <w:rsid w:val="00D54F1F"/>
    <w:rsid w:val="00DD14CA"/>
    <w:rsid w:val="00DD7070"/>
    <w:rsid w:val="00E34F83"/>
    <w:rsid w:val="00E871BB"/>
    <w:rsid w:val="00E9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9DFE33-0ADD-401C-A290-F30EBF9C9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s-A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15F"/>
  </w:style>
  <w:style w:type="paragraph" w:styleId="Ttulo1">
    <w:name w:val="heading 1"/>
    <w:basedOn w:val="Normal"/>
    <w:next w:val="Normal"/>
    <w:link w:val="Ttulo1Car"/>
    <w:uiPriority w:val="9"/>
    <w:qFormat/>
    <w:rsid w:val="008F3197"/>
    <w:pPr>
      <w:pBdr>
        <w:top w:val="single" w:sz="24" w:space="0" w:color="0F6FC6" w:themeColor="accent1"/>
        <w:left w:val="single" w:sz="24" w:space="0" w:color="0F6FC6" w:themeColor="accent1"/>
        <w:bottom w:val="single" w:sz="24" w:space="0" w:color="0F6FC6" w:themeColor="accent1"/>
        <w:right w:val="single" w:sz="24" w:space="0" w:color="0F6FC6" w:themeColor="accent1"/>
      </w:pBdr>
      <w:shd w:val="clear" w:color="auto" w:fill="0F6FC6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F3197"/>
    <w:pPr>
      <w:pBdr>
        <w:top w:val="single" w:sz="24" w:space="0" w:color="C7E2FA" w:themeColor="accent1" w:themeTint="33"/>
        <w:left w:val="single" w:sz="24" w:space="0" w:color="C7E2FA" w:themeColor="accent1" w:themeTint="33"/>
        <w:bottom w:val="single" w:sz="24" w:space="0" w:color="C7E2FA" w:themeColor="accent1" w:themeTint="33"/>
        <w:right w:val="single" w:sz="24" w:space="0" w:color="C7E2FA" w:themeColor="accent1" w:themeTint="33"/>
      </w:pBdr>
      <w:shd w:val="clear" w:color="auto" w:fill="C7E2FA" w:themeFill="accent1" w:themeFillTint="33"/>
      <w:spacing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3197"/>
    <w:pPr>
      <w:pBdr>
        <w:top w:val="single" w:sz="6" w:space="2" w:color="0F6FC6" w:themeColor="accent1"/>
      </w:pBdr>
      <w:spacing w:before="300" w:after="0"/>
      <w:outlineLvl w:val="2"/>
    </w:pPr>
    <w:rPr>
      <w:caps/>
      <w:color w:val="073662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F3197"/>
    <w:pPr>
      <w:pBdr>
        <w:top w:val="dotted" w:sz="6" w:space="2" w:color="0F6FC6" w:themeColor="accent1"/>
      </w:pBdr>
      <w:spacing w:before="200" w:after="0"/>
      <w:outlineLvl w:val="3"/>
    </w:pPr>
    <w:rPr>
      <w:caps/>
      <w:color w:val="0B5294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F3197"/>
    <w:pPr>
      <w:pBdr>
        <w:bottom w:val="single" w:sz="6" w:space="1" w:color="0F6FC6" w:themeColor="accent1"/>
      </w:pBdr>
      <w:spacing w:before="200" w:after="0"/>
      <w:outlineLvl w:val="4"/>
    </w:pPr>
    <w:rPr>
      <w:caps/>
      <w:color w:val="0B5294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F3197"/>
    <w:pPr>
      <w:pBdr>
        <w:bottom w:val="dotted" w:sz="6" w:space="1" w:color="0F6FC6" w:themeColor="accent1"/>
      </w:pBdr>
      <w:spacing w:before="200" w:after="0"/>
      <w:outlineLvl w:val="5"/>
    </w:pPr>
    <w:rPr>
      <w:caps/>
      <w:color w:val="0B5294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F3197"/>
    <w:pPr>
      <w:spacing w:before="200" w:after="0"/>
      <w:outlineLvl w:val="6"/>
    </w:pPr>
    <w:rPr>
      <w:caps/>
      <w:color w:val="0B5294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F3197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F3197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35C3A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F3197"/>
    <w:rPr>
      <w:caps/>
      <w:color w:val="FFFFFF" w:themeColor="background1"/>
      <w:spacing w:val="15"/>
      <w:sz w:val="22"/>
      <w:szCs w:val="22"/>
      <w:shd w:val="clear" w:color="auto" w:fill="0F6FC6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F3197"/>
    <w:rPr>
      <w:caps/>
      <w:spacing w:val="15"/>
      <w:shd w:val="clear" w:color="auto" w:fill="C7E2FA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3197"/>
    <w:rPr>
      <w:caps/>
      <w:color w:val="073662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F3197"/>
    <w:rPr>
      <w:caps/>
      <w:color w:val="0B5294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F3197"/>
    <w:rPr>
      <w:caps/>
      <w:color w:val="0B5294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F3197"/>
    <w:rPr>
      <w:caps/>
      <w:color w:val="0B5294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F3197"/>
    <w:rPr>
      <w:caps/>
      <w:color w:val="0B5294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F3197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F3197"/>
    <w:rPr>
      <w:i/>
      <w:iCs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8F3197"/>
    <w:rPr>
      <w:b/>
      <w:bCs/>
      <w:color w:val="0B5294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F3197"/>
    <w:pPr>
      <w:spacing w:before="0" w:after="0"/>
    </w:pPr>
    <w:rPr>
      <w:rFonts w:asciiTheme="majorHAnsi" w:eastAsiaTheme="majorEastAsia" w:hAnsiTheme="majorHAnsi" w:cstheme="majorBidi"/>
      <w:caps/>
      <w:color w:val="0F6FC6" w:themeColor="accent1"/>
      <w:spacing w:val="10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F3197"/>
    <w:rPr>
      <w:rFonts w:asciiTheme="majorHAnsi" w:eastAsiaTheme="majorEastAsia" w:hAnsiTheme="majorHAnsi" w:cstheme="majorBidi"/>
      <w:caps/>
      <w:color w:val="0F6FC6" w:themeColor="accent1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8F3197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sid w:val="008F3197"/>
    <w:rPr>
      <w:caps/>
      <w:color w:val="595959" w:themeColor="text1" w:themeTint="A6"/>
      <w:spacing w:val="10"/>
      <w:sz w:val="21"/>
      <w:szCs w:val="21"/>
    </w:rPr>
  </w:style>
  <w:style w:type="character" w:styleId="Textoennegrita">
    <w:name w:val="Strong"/>
    <w:uiPriority w:val="22"/>
    <w:qFormat/>
    <w:rsid w:val="008F3197"/>
    <w:rPr>
      <w:b/>
      <w:bCs/>
    </w:rPr>
  </w:style>
  <w:style w:type="character" w:styleId="nfasis">
    <w:name w:val="Emphasis"/>
    <w:uiPriority w:val="20"/>
    <w:qFormat/>
    <w:rsid w:val="008F3197"/>
    <w:rPr>
      <w:caps/>
      <w:color w:val="073662" w:themeColor="accent1" w:themeShade="7F"/>
      <w:spacing w:val="5"/>
    </w:rPr>
  </w:style>
  <w:style w:type="paragraph" w:styleId="Sinespaciado">
    <w:name w:val="No Spacing"/>
    <w:uiPriority w:val="1"/>
    <w:qFormat/>
    <w:rsid w:val="008F3197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8F3197"/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8F3197"/>
    <w:rPr>
      <w:i/>
      <w:iCs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F3197"/>
    <w:pPr>
      <w:spacing w:before="240" w:after="240" w:line="240" w:lineRule="auto"/>
      <w:ind w:left="1080" w:right="1080"/>
      <w:jc w:val="center"/>
    </w:pPr>
    <w:rPr>
      <w:color w:val="0F6FC6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F3197"/>
    <w:rPr>
      <w:color w:val="0F6FC6" w:themeColor="accent1"/>
      <w:sz w:val="24"/>
      <w:szCs w:val="24"/>
    </w:rPr>
  </w:style>
  <w:style w:type="character" w:styleId="nfasissutil">
    <w:name w:val="Subtle Emphasis"/>
    <w:uiPriority w:val="19"/>
    <w:qFormat/>
    <w:rsid w:val="008F3197"/>
    <w:rPr>
      <w:i/>
      <w:iCs/>
      <w:color w:val="073662" w:themeColor="accent1" w:themeShade="7F"/>
    </w:rPr>
  </w:style>
  <w:style w:type="character" w:styleId="nfasisintenso">
    <w:name w:val="Intense Emphasis"/>
    <w:uiPriority w:val="21"/>
    <w:qFormat/>
    <w:rsid w:val="008F3197"/>
    <w:rPr>
      <w:b/>
      <w:bCs/>
      <w:caps/>
      <w:color w:val="073662" w:themeColor="accent1" w:themeShade="7F"/>
      <w:spacing w:val="10"/>
    </w:rPr>
  </w:style>
  <w:style w:type="character" w:styleId="Referenciasutil">
    <w:name w:val="Subtle Reference"/>
    <w:uiPriority w:val="31"/>
    <w:qFormat/>
    <w:rsid w:val="008F3197"/>
    <w:rPr>
      <w:b/>
      <w:bCs/>
      <w:color w:val="0F6FC6" w:themeColor="accent1"/>
    </w:rPr>
  </w:style>
  <w:style w:type="character" w:styleId="Referenciaintensa">
    <w:name w:val="Intense Reference"/>
    <w:uiPriority w:val="32"/>
    <w:qFormat/>
    <w:rsid w:val="008F3197"/>
    <w:rPr>
      <w:b/>
      <w:bCs/>
      <w:i/>
      <w:iCs/>
      <w:caps/>
      <w:color w:val="0F6FC6" w:themeColor="accent1"/>
    </w:rPr>
  </w:style>
  <w:style w:type="character" w:styleId="Ttulodellibro">
    <w:name w:val="Book Title"/>
    <w:uiPriority w:val="33"/>
    <w:qFormat/>
    <w:rsid w:val="008F3197"/>
    <w:rPr>
      <w:b/>
      <w:bCs/>
      <w:i/>
      <w:iCs/>
      <w:spacing w:val="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8F319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ntegral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459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2018-09-03T00:14:00Z</dcterms:created>
  <dcterms:modified xsi:type="dcterms:W3CDTF">2018-09-03T00:14:00Z</dcterms:modified>
</cp:coreProperties>
</file>